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文物设施及其他类检查单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文物设施及其他情况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是否存在文物收藏单位未按照国家有关规定配备防火、防盗、防自然损坏的设施的行为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是否存在文物收藏单位未按照国家有关规定配备防火、防盗、防自然损坏的设施的行为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博物馆、图书馆和其他收藏文物的单位按照国家有关规定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</w:rPr>
        <w:t>配备防火、防盗、防自然损坏的设施，确保馆藏文物的安全。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博物馆、图书馆和其他收藏文物的单位按照国家有关规定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配备防火、防盗、防自然损坏的设施，确保馆藏文物的安全。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493EE6"/>
    <w:rsid w:val="05493EE6"/>
    <w:rsid w:val="08E830E6"/>
    <w:rsid w:val="32472A23"/>
    <w:rsid w:val="3B2D0502"/>
    <w:rsid w:val="656C5F4B"/>
    <w:rsid w:val="6B0E72F9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2021-09-09T08:19:00Z</dcterms:created>
  <dc:creator>侯东岳</dc:creator>
  <cp:lastModifiedBy>侯东岳</cp:lastModifiedBy>
  <dcterms:modified xsi:type="dcterms:W3CDTF">2021-09-09T08:24:28Z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874A7D969E3D44A29A3E36B9CC9FB45B</vt:lpwstr>
  </property>
</Properties>
</file>